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31F" w:rsidRDefault="0059031F" w:rsidP="0059031F">
      <w:pPr>
        <w:rPr>
          <w:rFonts w:ascii="Arial" w:hAnsi="Arial" w:cs="Arial"/>
          <w:b/>
        </w:rPr>
      </w:pPr>
    </w:p>
    <w:p w:rsidR="0059031F" w:rsidRDefault="0059031F" w:rsidP="0059031F">
      <w:pPr>
        <w:rPr>
          <w:rFonts w:ascii="Arial" w:hAnsi="Arial" w:cs="Arial"/>
          <w:b/>
        </w:rPr>
      </w:pPr>
    </w:p>
    <w:p w:rsidR="0059031F" w:rsidRDefault="0059031F" w:rsidP="0059031F">
      <w:pPr>
        <w:rPr>
          <w:rFonts w:ascii="Arial" w:hAnsi="Arial" w:cs="Arial"/>
          <w:b/>
        </w:rPr>
      </w:pPr>
    </w:p>
    <w:p w:rsidR="0059031F" w:rsidRDefault="0059031F" w:rsidP="0059031F">
      <w:pPr>
        <w:rPr>
          <w:rFonts w:ascii="Arial" w:hAnsi="Arial" w:cs="Arial"/>
          <w:b/>
          <w:sz w:val="28"/>
        </w:rPr>
      </w:pPr>
    </w:p>
    <w:p w:rsidR="0059031F" w:rsidRDefault="0059031F" w:rsidP="0059031F">
      <w:pPr>
        <w:rPr>
          <w:rFonts w:ascii="Arial" w:hAnsi="Arial" w:cs="Arial"/>
          <w:b/>
          <w:sz w:val="28"/>
        </w:rPr>
      </w:pPr>
    </w:p>
    <w:p w:rsidR="0059031F" w:rsidRPr="0059031F" w:rsidRDefault="0059031F" w:rsidP="00911E3B">
      <w:pPr>
        <w:jc w:val="center"/>
        <w:rPr>
          <w:rFonts w:ascii="Arial" w:hAnsi="Arial" w:cs="Arial"/>
          <w:b/>
          <w:sz w:val="28"/>
        </w:rPr>
      </w:pPr>
      <w:r w:rsidRPr="0059031F">
        <w:rPr>
          <w:rFonts w:ascii="Arial" w:hAnsi="Arial" w:cs="Arial"/>
          <w:b/>
          <w:sz w:val="28"/>
        </w:rPr>
        <w:t>Ear Irrigation - Statement from Wiltshire Clinical Commissioning Group</w:t>
      </w:r>
    </w:p>
    <w:p w:rsidR="0059031F" w:rsidRPr="0059031F" w:rsidRDefault="0059031F" w:rsidP="0059031F">
      <w:pPr>
        <w:rPr>
          <w:rFonts w:ascii="Arial" w:hAnsi="Arial" w:cs="Arial"/>
          <w:sz w:val="24"/>
        </w:rPr>
      </w:pPr>
    </w:p>
    <w:p w:rsidR="0059031F" w:rsidRPr="0059031F" w:rsidRDefault="0059031F" w:rsidP="0059031F">
      <w:pPr>
        <w:rPr>
          <w:rFonts w:ascii="Arial" w:hAnsi="Arial" w:cs="Arial"/>
          <w:sz w:val="24"/>
        </w:rPr>
      </w:pPr>
      <w:r w:rsidRPr="0059031F">
        <w:rPr>
          <w:rFonts w:ascii="Arial" w:hAnsi="Arial" w:cs="Arial"/>
          <w:sz w:val="24"/>
        </w:rPr>
        <w:t xml:space="preserve">The vast majority of patients presenting with ear problems to their GP are treated by the GP or Practice Nurse, with advice about ear wax removal which is in line with the Wiltshire CCG guidelines. A referral from your GP to a hospital for ear wax removal is only commissioned for patients meeting certain criteria, including; </w:t>
      </w:r>
    </w:p>
    <w:p w:rsidR="0059031F" w:rsidRPr="0059031F" w:rsidRDefault="0059031F" w:rsidP="0059031F">
      <w:pPr>
        <w:rPr>
          <w:rFonts w:ascii="Arial" w:hAnsi="Arial" w:cs="Arial"/>
          <w:sz w:val="24"/>
        </w:rPr>
      </w:pPr>
    </w:p>
    <w:p w:rsidR="0059031F" w:rsidRPr="0059031F" w:rsidRDefault="0059031F" w:rsidP="0059031F">
      <w:pPr>
        <w:pStyle w:val="ListParagraph"/>
        <w:numPr>
          <w:ilvl w:val="0"/>
          <w:numId w:val="4"/>
        </w:numPr>
        <w:rPr>
          <w:rFonts w:ascii="Arial" w:hAnsi="Arial" w:cs="Arial"/>
          <w:sz w:val="24"/>
        </w:rPr>
      </w:pPr>
      <w:r w:rsidRPr="0059031F">
        <w:rPr>
          <w:rFonts w:ascii="Arial" w:hAnsi="Arial" w:cs="Arial"/>
          <w:sz w:val="24"/>
        </w:rPr>
        <w:t>Patients with acute otitis externa up to a maximum of three appointments per year (To be monitored via the audit process)</w:t>
      </w:r>
    </w:p>
    <w:p w:rsidR="0059031F" w:rsidRPr="0059031F" w:rsidRDefault="0059031F" w:rsidP="0059031F">
      <w:pPr>
        <w:pStyle w:val="ListParagraph"/>
        <w:numPr>
          <w:ilvl w:val="0"/>
          <w:numId w:val="4"/>
        </w:numPr>
        <w:rPr>
          <w:rFonts w:ascii="Arial" w:hAnsi="Arial" w:cs="Arial"/>
          <w:sz w:val="24"/>
        </w:rPr>
      </w:pPr>
      <w:r w:rsidRPr="0059031F">
        <w:rPr>
          <w:rFonts w:ascii="Arial" w:hAnsi="Arial" w:cs="Arial"/>
          <w:sz w:val="24"/>
        </w:rPr>
        <w:t>Patients who require Micro-suction prior to the assessment, fitting or review of a hearing aid</w:t>
      </w:r>
    </w:p>
    <w:p w:rsidR="0059031F" w:rsidRPr="0059031F" w:rsidRDefault="0059031F" w:rsidP="0059031F">
      <w:pPr>
        <w:pStyle w:val="ListParagraph"/>
        <w:numPr>
          <w:ilvl w:val="0"/>
          <w:numId w:val="4"/>
        </w:numPr>
        <w:rPr>
          <w:rFonts w:ascii="Arial" w:hAnsi="Arial" w:cs="Arial"/>
          <w:sz w:val="24"/>
        </w:rPr>
      </w:pPr>
      <w:r w:rsidRPr="0059031F">
        <w:rPr>
          <w:rFonts w:ascii="Arial" w:hAnsi="Arial" w:cs="Arial"/>
          <w:sz w:val="24"/>
        </w:rPr>
        <w:t>The tympanic membrane is obscured by wax but needs to be viewed to establish a diagnosis</w:t>
      </w:r>
    </w:p>
    <w:p w:rsidR="0059031F" w:rsidRPr="0059031F" w:rsidRDefault="0059031F" w:rsidP="0059031F">
      <w:pPr>
        <w:pStyle w:val="ListParagraph"/>
        <w:numPr>
          <w:ilvl w:val="0"/>
          <w:numId w:val="4"/>
        </w:numPr>
        <w:rPr>
          <w:rFonts w:ascii="Arial" w:hAnsi="Arial" w:cs="Arial"/>
          <w:sz w:val="24"/>
        </w:rPr>
      </w:pPr>
      <w:r w:rsidRPr="0059031F">
        <w:rPr>
          <w:rFonts w:ascii="Arial" w:hAnsi="Arial" w:cs="Arial"/>
          <w:sz w:val="24"/>
        </w:rPr>
        <w:t>There is a foreign body, including vegetable matter, in the ear canal tha</w:t>
      </w:r>
      <w:r w:rsidR="00471D4E">
        <w:rPr>
          <w:rFonts w:ascii="Arial" w:hAnsi="Arial" w:cs="Arial"/>
          <w:sz w:val="24"/>
        </w:rPr>
        <w:t>t could swell during irrigation</w:t>
      </w:r>
      <w:bookmarkStart w:id="0" w:name="_GoBack"/>
      <w:bookmarkEnd w:id="0"/>
    </w:p>
    <w:p w:rsidR="0059031F" w:rsidRPr="0059031F" w:rsidRDefault="0059031F" w:rsidP="0059031F">
      <w:pPr>
        <w:rPr>
          <w:rFonts w:ascii="Arial" w:hAnsi="Arial" w:cs="Arial"/>
          <w:sz w:val="24"/>
        </w:rPr>
      </w:pPr>
    </w:p>
    <w:p w:rsidR="0059031F" w:rsidRPr="0059031F" w:rsidRDefault="0059031F" w:rsidP="0059031F">
      <w:pPr>
        <w:rPr>
          <w:rFonts w:ascii="Arial" w:hAnsi="Arial" w:cs="Arial"/>
          <w:sz w:val="24"/>
        </w:rPr>
      </w:pPr>
      <w:r w:rsidRPr="0059031F">
        <w:rPr>
          <w:rFonts w:ascii="Arial" w:hAnsi="Arial" w:cs="Arial"/>
          <w:sz w:val="24"/>
        </w:rPr>
        <w:t xml:space="preserve">However, the CCG also recognises that patients suffering from significant symptoms due to ear wax build up (including hearing loss or pain) and affecting a patient’s condition may warrant micro-suction, where one or more of the following has occurred: </w:t>
      </w:r>
    </w:p>
    <w:p w:rsidR="0059031F" w:rsidRPr="0059031F" w:rsidRDefault="0059031F" w:rsidP="0059031F">
      <w:pPr>
        <w:rPr>
          <w:rFonts w:ascii="Arial" w:hAnsi="Arial" w:cs="Arial"/>
          <w:sz w:val="24"/>
        </w:rPr>
      </w:pPr>
    </w:p>
    <w:p w:rsidR="0059031F" w:rsidRPr="00471D4E" w:rsidRDefault="0059031F" w:rsidP="00471D4E">
      <w:pPr>
        <w:pStyle w:val="ListParagraph"/>
        <w:numPr>
          <w:ilvl w:val="0"/>
          <w:numId w:val="5"/>
        </w:numPr>
        <w:rPr>
          <w:rFonts w:ascii="Arial" w:hAnsi="Arial" w:cs="Arial"/>
          <w:sz w:val="24"/>
        </w:rPr>
      </w:pPr>
      <w:r w:rsidRPr="00471D4E">
        <w:rPr>
          <w:rFonts w:ascii="Arial" w:hAnsi="Arial" w:cs="Arial"/>
          <w:sz w:val="24"/>
        </w:rPr>
        <w:t>Previously undergone ear surgery (other than grommets insertion that have been extruded for at least 18 months)</w:t>
      </w:r>
    </w:p>
    <w:p w:rsidR="0059031F" w:rsidRPr="00471D4E" w:rsidRDefault="0059031F" w:rsidP="00471D4E">
      <w:pPr>
        <w:pStyle w:val="ListParagraph"/>
        <w:numPr>
          <w:ilvl w:val="0"/>
          <w:numId w:val="5"/>
        </w:numPr>
        <w:rPr>
          <w:rFonts w:ascii="Arial" w:hAnsi="Arial" w:cs="Arial"/>
          <w:sz w:val="24"/>
        </w:rPr>
      </w:pPr>
      <w:r w:rsidRPr="00471D4E">
        <w:rPr>
          <w:rFonts w:ascii="Arial" w:hAnsi="Arial" w:cs="Arial"/>
          <w:sz w:val="24"/>
        </w:rPr>
        <w:t>A recent history of Otalgia and /or middle ear infection (in past 6 weeks);</w:t>
      </w:r>
    </w:p>
    <w:p w:rsidR="0059031F" w:rsidRPr="00471D4E" w:rsidRDefault="0059031F" w:rsidP="00471D4E">
      <w:pPr>
        <w:pStyle w:val="ListParagraph"/>
        <w:numPr>
          <w:ilvl w:val="0"/>
          <w:numId w:val="5"/>
        </w:numPr>
        <w:rPr>
          <w:rFonts w:ascii="Arial" w:hAnsi="Arial" w:cs="Arial"/>
          <w:sz w:val="24"/>
        </w:rPr>
      </w:pPr>
      <w:r w:rsidRPr="00471D4E">
        <w:rPr>
          <w:rFonts w:ascii="Arial" w:hAnsi="Arial" w:cs="Arial"/>
          <w:sz w:val="24"/>
        </w:rPr>
        <w:t>A retraction pocket or a cholesteatoma</w:t>
      </w:r>
    </w:p>
    <w:p w:rsidR="0059031F" w:rsidRPr="00471D4E" w:rsidRDefault="0059031F" w:rsidP="00471D4E">
      <w:pPr>
        <w:pStyle w:val="ListParagraph"/>
        <w:numPr>
          <w:ilvl w:val="0"/>
          <w:numId w:val="5"/>
        </w:numPr>
        <w:rPr>
          <w:rFonts w:ascii="Arial" w:hAnsi="Arial" w:cs="Arial"/>
          <w:sz w:val="24"/>
        </w:rPr>
      </w:pPr>
      <w:r w:rsidRPr="00471D4E">
        <w:rPr>
          <w:rFonts w:ascii="Arial" w:hAnsi="Arial" w:cs="Arial"/>
          <w:sz w:val="24"/>
        </w:rPr>
        <w:t>Has a current perforation or history of ear discharge in the past 12 months;</w:t>
      </w:r>
    </w:p>
    <w:p w:rsidR="0059031F" w:rsidRPr="00471D4E" w:rsidRDefault="0059031F" w:rsidP="00471D4E">
      <w:pPr>
        <w:pStyle w:val="ListParagraph"/>
        <w:numPr>
          <w:ilvl w:val="0"/>
          <w:numId w:val="5"/>
        </w:numPr>
        <w:rPr>
          <w:rFonts w:ascii="Arial" w:hAnsi="Arial" w:cs="Arial"/>
          <w:sz w:val="24"/>
        </w:rPr>
      </w:pPr>
      <w:r w:rsidRPr="00471D4E">
        <w:rPr>
          <w:rFonts w:ascii="Arial" w:hAnsi="Arial" w:cs="Arial"/>
          <w:sz w:val="24"/>
        </w:rPr>
        <w:t>Previous complications following ear irrigation including perforation of the ear drum, severe pain, deafness, or vertigo;</w:t>
      </w:r>
    </w:p>
    <w:p w:rsidR="0059031F" w:rsidRPr="00471D4E" w:rsidRDefault="0059031F" w:rsidP="00471D4E">
      <w:pPr>
        <w:pStyle w:val="ListParagraph"/>
        <w:numPr>
          <w:ilvl w:val="0"/>
          <w:numId w:val="5"/>
        </w:numPr>
        <w:rPr>
          <w:rFonts w:ascii="Arial" w:hAnsi="Arial" w:cs="Arial"/>
          <w:sz w:val="24"/>
        </w:rPr>
      </w:pPr>
      <w:r w:rsidRPr="00471D4E">
        <w:rPr>
          <w:rFonts w:ascii="Arial" w:hAnsi="Arial" w:cs="Arial"/>
          <w:sz w:val="24"/>
        </w:rPr>
        <w:t xml:space="preserve">Ear drops have been unsuccessful and irrigation has been </w:t>
      </w:r>
      <w:r w:rsidR="00471D4E">
        <w:rPr>
          <w:rFonts w:ascii="Arial" w:hAnsi="Arial" w:cs="Arial"/>
          <w:sz w:val="24"/>
        </w:rPr>
        <w:t>unsuccessful or is unavailable</w:t>
      </w:r>
    </w:p>
    <w:p w:rsidR="0059031F" w:rsidRPr="0059031F" w:rsidRDefault="0059031F" w:rsidP="0059031F">
      <w:pPr>
        <w:rPr>
          <w:rFonts w:ascii="Arial" w:hAnsi="Arial" w:cs="Arial"/>
          <w:sz w:val="24"/>
        </w:rPr>
      </w:pPr>
    </w:p>
    <w:p w:rsidR="0059031F" w:rsidRPr="0059031F" w:rsidRDefault="0059031F" w:rsidP="0059031F">
      <w:pPr>
        <w:rPr>
          <w:rFonts w:ascii="Arial" w:hAnsi="Arial" w:cs="Arial"/>
          <w:sz w:val="24"/>
        </w:rPr>
      </w:pPr>
      <w:r w:rsidRPr="0059031F">
        <w:rPr>
          <w:rFonts w:ascii="Arial" w:hAnsi="Arial" w:cs="Arial"/>
          <w:sz w:val="24"/>
        </w:rPr>
        <w:t xml:space="preserve">If all of the above criteria are met, a prior approval application may be made from your GP and will be granted for on-going treatment (to a maximum limit). </w:t>
      </w:r>
    </w:p>
    <w:p w:rsidR="0059031F" w:rsidRPr="0059031F" w:rsidRDefault="0059031F" w:rsidP="0059031F">
      <w:pPr>
        <w:rPr>
          <w:rFonts w:ascii="Arial" w:hAnsi="Arial" w:cs="Arial"/>
          <w:sz w:val="24"/>
        </w:rPr>
      </w:pPr>
    </w:p>
    <w:p w:rsidR="0059031F" w:rsidRPr="0059031F" w:rsidRDefault="0059031F" w:rsidP="0059031F">
      <w:pPr>
        <w:rPr>
          <w:rFonts w:ascii="Arial" w:hAnsi="Arial" w:cs="Arial"/>
          <w:sz w:val="24"/>
        </w:rPr>
      </w:pPr>
      <w:r w:rsidRPr="0059031F">
        <w:rPr>
          <w:rFonts w:ascii="Arial" w:hAnsi="Arial" w:cs="Arial"/>
          <w:sz w:val="24"/>
        </w:rPr>
        <w:t>Further details are available</w:t>
      </w:r>
      <w:r w:rsidR="0023289A">
        <w:rPr>
          <w:rFonts w:ascii="Arial" w:hAnsi="Arial" w:cs="Arial"/>
          <w:sz w:val="24"/>
        </w:rPr>
        <w:t xml:space="preserve"> </w:t>
      </w:r>
      <w:r w:rsidRPr="0059031F">
        <w:rPr>
          <w:rFonts w:ascii="Arial" w:hAnsi="Arial" w:cs="Arial"/>
          <w:sz w:val="24"/>
        </w:rPr>
        <w:t xml:space="preserve">on Wiltshire CCG’s website at: </w:t>
      </w:r>
      <w:hyperlink r:id="rId8" w:history="1">
        <w:r w:rsidRPr="0059031F">
          <w:rPr>
            <w:rStyle w:val="Hyperlink"/>
            <w:rFonts w:ascii="Arial" w:hAnsi="Arial" w:cs="Arial"/>
            <w:sz w:val="24"/>
          </w:rPr>
          <w:t>http://www.wiltshireccg.nhs.uk/what-we-do-and-dont-fund</w:t>
        </w:r>
      </w:hyperlink>
      <w:r w:rsidRPr="0059031F">
        <w:rPr>
          <w:rFonts w:ascii="Arial" w:hAnsi="Arial" w:cs="Arial"/>
          <w:sz w:val="24"/>
        </w:rPr>
        <w:t xml:space="preserve"> and specifically </w:t>
      </w:r>
      <w:hyperlink r:id="rId9" w:history="1">
        <w:r w:rsidRPr="0059031F">
          <w:rPr>
            <w:rStyle w:val="Hyperlink"/>
            <w:rFonts w:ascii="Arial" w:hAnsi="Arial" w:cs="Arial"/>
            <w:sz w:val="24"/>
          </w:rPr>
          <w:t>http://www.wiltshireccg.nhs.uk/wp-content/uploads/2019/05/SW-CP004-Micro-suction-V3.pdf</w:t>
        </w:r>
      </w:hyperlink>
      <w:r w:rsidRPr="0059031F">
        <w:rPr>
          <w:rFonts w:ascii="Arial" w:hAnsi="Arial" w:cs="Arial"/>
          <w:sz w:val="24"/>
        </w:rPr>
        <w:t xml:space="preserve">. </w:t>
      </w:r>
    </w:p>
    <w:p w:rsidR="0059031F" w:rsidRPr="0059031F" w:rsidRDefault="0059031F" w:rsidP="0059031F">
      <w:pPr>
        <w:rPr>
          <w:rFonts w:ascii="Arial" w:hAnsi="Arial" w:cs="Arial"/>
          <w:sz w:val="24"/>
        </w:rPr>
      </w:pPr>
    </w:p>
    <w:p w:rsidR="001818E3" w:rsidRPr="0059031F" w:rsidRDefault="0059031F" w:rsidP="0059031F">
      <w:pPr>
        <w:rPr>
          <w:sz w:val="24"/>
        </w:rPr>
      </w:pPr>
      <w:r w:rsidRPr="0059031F">
        <w:rPr>
          <w:rFonts w:ascii="Arial" w:hAnsi="Arial" w:cs="Arial"/>
          <w:sz w:val="24"/>
        </w:rPr>
        <w:t xml:space="preserve">Self-care guidelines are available at: </w:t>
      </w:r>
      <w:hyperlink r:id="rId10" w:history="1">
        <w:r w:rsidRPr="0059031F">
          <w:rPr>
            <w:rStyle w:val="Hyperlink"/>
            <w:rFonts w:ascii="Arial" w:hAnsi="Arial" w:cs="Arial"/>
            <w:sz w:val="24"/>
          </w:rPr>
          <w:t>http://www.wiltshireccg.nhs.uk/wp-content/uploads/2013/12/Blocked-ears-wax-self-guidelines-for-patients</w:t>
        </w:r>
        <w:r w:rsidRPr="0059031F">
          <w:rPr>
            <w:rStyle w:val="Hyperlink"/>
            <w:sz w:val="24"/>
          </w:rPr>
          <w:t>.pdf</w:t>
        </w:r>
      </w:hyperlink>
      <w:r w:rsidRPr="0059031F">
        <w:rPr>
          <w:sz w:val="24"/>
        </w:rPr>
        <w:t xml:space="preserve">. </w:t>
      </w:r>
    </w:p>
    <w:sectPr w:rsidR="001818E3" w:rsidRPr="0059031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31F" w:rsidRDefault="0059031F" w:rsidP="0059031F">
      <w:r>
        <w:separator/>
      </w:r>
    </w:p>
  </w:endnote>
  <w:endnote w:type="continuationSeparator" w:id="0">
    <w:p w:rsidR="0059031F" w:rsidRDefault="0059031F" w:rsidP="00590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31F" w:rsidRPr="0059031F" w:rsidRDefault="0059031F" w:rsidP="0059031F">
    <w:pPr>
      <w:pStyle w:val="Footer"/>
      <w:jc w:val="right"/>
      <w:rPr>
        <w:rFonts w:ascii="Arial" w:hAnsi="Arial" w:cs="Arial"/>
        <w:i/>
      </w:rPr>
    </w:pPr>
    <w:r w:rsidRPr="0059031F">
      <w:rPr>
        <w:rFonts w:ascii="Arial" w:hAnsi="Arial" w:cs="Arial"/>
        <w:i/>
      </w:rPr>
      <w:t>6</w:t>
    </w:r>
    <w:r w:rsidRPr="0059031F">
      <w:rPr>
        <w:rFonts w:ascii="Arial" w:hAnsi="Arial" w:cs="Arial"/>
        <w:i/>
        <w:vertAlign w:val="superscript"/>
      </w:rPr>
      <w:t>th</w:t>
    </w:r>
    <w:r w:rsidRPr="0059031F">
      <w:rPr>
        <w:rFonts w:ascii="Arial" w:hAnsi="Arial" w:cs="Arial"/>
        <w:i/>
      </w:rPr>
      <w:t xml:space="preserve"> June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31F" w:rsidRDefault="0059031F" w:rsidP="0059031F">
      <w:r>
        <w:separator/>
      </w:r>
    </w:p>
  </w:footnote>
  <w:footnote w:type="continuationSeparator" w:id="0">
    <w:p w:rsidR="0059031F" w:rsidRDefault="0059031F" w:rsidP="00590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31F" w:rsidRDefault="0059031F">
    <w:pPr>
      <w:pStyle w:val="Header"/>
    </w:pPr>
    <w:r>
      <w:rPr>
        <w:noProof/>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-1905</wp:posOffset>
          </wp:positionV>
          <wp:extent cx="1771650" cy="10623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P logo with 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1650" cy="10623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F7035"/>
    <w:multiLevelType w:val="hybridMultilevel"/>
    <w:tmpl w:val="EB00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FF14F93"/>
    <w:multiLevelType w:val="hybridMultilevel"/>
    <w:tmpl w:val="09D46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87F5B0B"/>
    <w:multiLevelType w:val="hybridMultilevel"/>
    <w:tmpl w:val="F09650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6FD81177"/>
    <w:multiLevelType w:val="hybridMultilevel"/>
    <w:tmpl w:val="7E90D81E"/>
    <w:lvl w:ilvl="0" w:tplc="DDF0BC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0EA05F8"/>
    <w:multiLevelType w:val="hybridMultilevel"/>
    <w:tmpl w:val="5B24E230"/>
    <w:lvl w:ilvl="0" w:tplc="DDF0BC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31F"/>
    <w:rsid w:val="001818E3"/>
    <w:rsid w:val="0023289A"/>
    <w:rsid w:val="00471D4E"/>
    <w:rsid w:val="0059031F"/>
    <w:rsid w:val="00811CDB"/>
    <w:rsid w:val="00911E3B"/>
    <w:rsid w:val="00D26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A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31F"/>
    <w:pPr>
      <w:ind w:left="720"/>
      <w:contextualSpacing/>
    </w:pPr>
  </w:style>
  <w:style w:type="character" w:styleId="Hyperlink">
    <w:name w:val="Hyperlink"/>
    <w:basedOn w:val="DefaultParagraphFont"/>
    <w:uiPriority w:val="99"/>
    <w:unhideWhenUsed/>
    <w:rsid w:val="0059031F"/>
    <w:rPr>
      <w:color w:val="0000FF" w:themeColor="hyperlink"/>
      <w:u w:val="single"/>
    </w:rPr>
  </w:style>
  <w:style w:type="paragraph" w:styleId="Header">
    <w:name w:val="header"/>
    <w:basedOn w:val="Normal"/>
    <w:link w:val="HeaderChar"/>
    <w:uiPriority w:val="99"/>
    <w:unhideWhenUsed/>
    <w:rsid w:val="0059031F"/>
    <w:pPr>
      <w:tabs>
        <w:tab w:val="center" w:pos="4513"/>
        <w:tab w:val="right" w:pos="9026"/>
      </w:tabs>
    </w:pPr>
  </w:style>
  <w:style w:type="character" w:customStyle="1" w:styleId="HeaderChar">
    <w:name w:val="Header Char"/>
    <w:basedOn w:val="DefaultParagraphFont"/>
    <w:link w:val="Header"/>
    <w:uiPriority w:val="99"/>
    <w:rsid w:val="0059031F"/>
  </w:style>
  <w:style w:type="paragraph" w:styleId="Footer">
    <w:name w:val="footer"/>
    <w:basedOn w:val="Normal"/>
    <w:link w:val="FooterChar"/>
    <w:uiPriority w:val="99"/>
    <w:unhideWhenUsed/>
    <w:rsid w:val="0059031F"/>
    <w:pPr>
      <w:tabs>
        <w:tab w:val="center" w:pos="4513"/>
        <w:tab w:val="right" w:pos="9026"/>
      </w:tabs>
    </w:pPr>
  </w:style>
  <w:style w:type="character" w:customStyle="1" w:styleId="FooterChar">
    <w:name w:val="Footer Char"/>
    <w:basedOn w:val="DefaultParagraphFont"/>
    <w:link w:val="Footer"/>
    <w:uiPriority w:val="99"/>
    <w:rsid w:val="0059031F"/>
  </w:style>
  <w:style w:type="paragraph" w:styleId="BalloonText">
    <w:name w:val="Balloon Text"/>
    <w:basedOn w:val="Normal"/>
    <w:link w:val="BalloonTextChar"/>
    <w:uiPriority w:val="99"/>
    <w:semiHidden/>
    <w:unhideWhenUsed/>
    <w:rsid w:val="0059031F"/>
    <w:rPr>
      <w:rFonts w:ascii="Tahoma" w:hAnsi="Tahoma" w:cs="Tahoma"/>
      <w:sz w:val="16"/>
      <w:szCs w:val="16"/>
    </w:rPr>
  </w:style>
  <w:style w:type="character" w:customStyle="1" w:styleId="BalloonTextChar">
    <w:name w:val="Balloon Text Char"/>
    <w:basedOn w:val="DefaultParagraphFont"/>
    <w:link w:val="BalloonText"/>
    <w:uiPriority w:val="99"/>
    <w:semiHidden/>
    <w:rsid w:val="005903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A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31F"/>
    <w:pPr>
      <w:ind w:left="720"/>
      <w:contextualSpacing/>
    </w:pPr>
  </w:style>
  <w:style w:type="character" w:styleId="Hyperlink">
    <w:name w:val="Hyperlink"/>
    <w:basedOn w:val="DefaultParagraphFont"/>
    <w:uiPriority w:val="99"/>
    <w:unhideWhenUsed/>
    <w:rsid w:val="0059031F"/>
    <w:rPr>
      <w:color w:val="0000FF" w:themeColor="hyperlink"/>
      <w:u w:val="single"/>
    </w:rPr>
  </w:style>
  <w:style w:type="paragraph" w:styleId="Header">
    <w:name w:val="header"/>
    <w:basedOn w:val="Normal"/>
    <w:link w:val="HeaderChar"/>
    <w:uiPriority w:val="99"/>
    <w:unhideWhenUsed/>
    <w:rsid w:val="0059031F"/>
    <w:pPr>
      <w:tabs>
        <w:tab w:val="center" w:pos="4513"/>
        <w:tab w:val="right" w:pos="9026"/>
      </w:tabs>
    </w:pPr>
  </w:style>
  <w:style w:type="character" w:customStyle="1" w:styleId="HeaderChar">
    <w:name w:val="Header Char"/>
    <w:basedOn w:val="DefaultParagraphFont"/>
    <w:link w:val="Header"/>
    <w:uiPriority w:val="99"/>
    <w:rsid w:val="0059031F"/>
  </w:style>
  <w:style w:type="paragraph" w:styleId="Footer">
    <w:name w:val="footer"/>
    <w:basedOn w:val="Normal"/>
    <w:link w:val="FooterChar"/>
    <w:uiPriority w:val="99"/>
    <w:unhideWhenUsed/>
    <w:rsid w:val="0059031F"/>
    <w:pPr>
      <w:tabs>
        <w:tab w:val="center" w:pos="4513"/>
        <w:tab w:val="right" w:pos="9026"/>
      </w:tabs>
    </w:pPr>
  </w:style>
  <w:style w:type="character" w:customStyle="1" w:styleId="FooterChar">
    <w:name w:val="Footer Char"/>
    <w:basedOn w:val="DefaultParagraphFont"/>
    <w:link w:val="Footer"/>
    <w:uiPriority w:val="99"/>
    <w:rsid w:val="0059031F"/>
  </w:style>
  <w:style w:type="paragraph" w:styleId="BalloonText">
    <w:name w:val="Balloon Text"/>
    <w:basedOn w:val="Normal"/>
    <w:link w:val="BalloonTextChar"/>
    <w:uiPriority w:val="99"/>
    <w:semiHidden/>
    <w:unhideWhenUsed/>
    <w:rsid w:val="0059031F"/>
    <w:rPr>
      <w:rFonts w:ascii="Tahoma" w:hAnsi="Tahoma" w:cs="Tahoma"/>
      <w:sz w:val="16"/>
      <w:szCs w:val="16"/>
    </w:rPr>
  </w:style>
  <w:style w:type="character" w:customStyle="1" w:styleId="BalloonTextChar">
    <w:name w:val="Balloon Text Char"/>
    <w:basedOn w:val="DefaultParagraphFont"/>
    <w:link w:val="BalloonText"/>
    <w:uiPriority w:val="99"/>
    <w:semiHidden/>
    <w:rsid w:val="005903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tshireccg.nhs.uk/what-we-do-and-dont-fun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iltshireccg.nhs.uk/wp-content/uploads/2013/12/Blocked-ears-wax-self-guidelines-for-patients.pdf" TargetMode="External"/><Relationship Id="rId4" Type="http://schemas.openxmlformats.org/officeDocument/2006/relationships/settings" Target="settings.xml"/><Relationship Id="rId9" Type="http://schemas.openxmlformats.org/officeDocument/2006/relationships/hyperlink" Target="http://www.wiltshireccg.nhs.uk/wp-content/uploads/2019/05/SW-CP004-Micro-suction-V3.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2019-06-06T11:08:00Z</dcterms:created>
  <dcterms:modified xsi:type="dcterms:W3CDTF">2019-06-07T11:13:00Z</dcterms:modified>
</cp:coreProperties>
</file>